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ab/>
        <w:t xml:space="preserve">На основу спрoведене јавне набавке у отвореном поступку –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набавк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>a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  радова на уградњи дечијих игралишта   чија укупна процењена</w:t>
      </w:r>
      <w:r>
        <w:rPr>
          <w:rFonts w:eastAsia="Calibri-Bold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 xml:space="preserve"> 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  <w:t>ЈН 405-2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1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/26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eastAsia="TimesNewRomanPS-BoldMT" w:ascii="Arial" w:hAnsi="Arial"/>
          <w:b/>
          <w:bCs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 xml:space="preserve">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>набавк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 w:eastAsia="sr-RS"/>
        </w:rPr>
        <w:t>a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 w:eastAsia="sr-RS"/>
        </w:rPr>
        <w:t xml:space="preserve">  радова на уградњи дечијих игралишта 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Република Србија – Градска управа града Зајечара, </w:t>
      </w:r>
      <w:r>
        <w:rPr>
          <w:rFonts w:cs="Arial" w:ascii="Arial" w:hAnsi="Arial"/>
          <w:sz w:val="22"/>
          <w:szCs w:val="22"/>
        </w:rPr>
        <w:t xml:space="preserve">ПИБ 101757838, МБ 07189923, ЈБКЈС 08105, коју заступа начелник градске управе града Зајечара </w:t>
      </w:r>
      <w:r>
        <w:rPr>
          <w:rFonts w:cs="Arial" w:ascii="Arial" w:hAnsi="Arial"/>
          <w:sz w:val="22"/>
          <w:szCs w:val="22"/>
          <w:lang w:val="sr-RS"/>
        </w:rPr>
        <w:t>Ненад Динуловић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eastAsia="TimesNewRomanPS-BoldMT" w:cs="Arial"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Уговорне стране констатују да је </w:t>
      </w:r>
      <w:r>
        <w:rPr>
          <w:rFonts w:cs="Arial" w:ascii="Arial" w:hAnsi="Arial"/>
          <w:b w:val="false"/>
          <w:bCs w:val="false"/>
          <w:sz w:val="22"/>
          <w:szCs w:val="22"/>
        </w:rPr>
        <w:t>Наручилац изабрао Извођача као најповољнијег понуђача за извођење радова</w:t>
      </w:r>
      <w:r>
        <w:rPr>
          <w:rFonts w:eastAsia="TimesNewRomanPS-BoldMT" w:cs="Arial" w:ascii="Arial" w:hAnsi="Arial"/>
          <w:b w:val="false"/>
          <w:bCs w:val="false"/>
          <w:color w:val="000000"/>
          <w:sz w:val="21"/>
          <w:szCs w:val="21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color w:val="000000"/>
          <w:sz w:val="22"/>
          <w:szCs w:val="22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на уградњи дечијих игралишта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ЈН </w:t>
      </w:r>
      <w:r>
        <w:rPr>
          <w:rFonts w:cs="Arial" w:ascii="Arial" w:hAnsi="Arial"/>
          <w:b w:val="false"/>
          <w:bCs w:val="false"/>
          <w:sz w:val="22"/>
          <w:szCs w:val="22"/>
        </w:rPr>
        <w:t>број 405-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24</w:t>
      </w:r>
      <w:r>
        <w:rPr>
          <w:rFonts w:cs="Arial" w:ascii="Arial" w:hAnsi="Arial"/>
          <w:b w:val="false"/>
          <w:bCs w:val="false"/>
          <w:sz w:val="22"/>
          <w:szCs w:val="22"/>
          <w:lang w:val="sr-Latn-RS"/>
        </w:rPr>
        <w:t>1</w:t>
      </w:r>
      <w:r>
        <w:rPr>
          <w:rFonts w:cs="Arial" w:ascii="Arial" w:hAnsi="Arial"/>
          <w:b w:val="false"/>
          <w:bCs w:val="false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на уградњи дечијих игралишта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eastAsia="Calibri-Bold" w:cs="Arial" w:ascii="Arial" w:hAnsi="Arial"/>
          <w:b/>
          <w:bCs/>
          <w:color w:val="000000"/>
          <w:sz w:val="21"/>
          <w:szCs w:val="21"/>
          <w:lang w:eastAsia="sr-RS"/>
        </w:rPr>
        <w:t xml:space="preserve"> </w:t>
      </w:r>
      <w:r>
        <w:rPr>
          <w:rFonts w:eastAsia="Times New Roman" w:cs="Arial" w:ascii="Arial" w:hAnsi="Arial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_____________________________________ динара без ПДВ-а, </w:t>
      </w:r>
      <w:r>
        <w:rPr>
          <w:rFonts w:cs="Arial" w:ascii="Arial" w:hAnsi="Arial"/>
          <w:sz w:val="22"/>
          <w:szCs w:val="22"/>
          <w:lang w:val="sr-RS"/>
        </w:rPr>
        <w:t xml:space="preserve">односно 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</w:rPr>
        <w:t xml:space="preserve"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ПДВ-а,  </w:t>
      </w:r>
      <w:r>
        <w:rPr>
          <w:rFonts w:cs="Arial" w:ascii="Arial" w:hAnsi="Arial"/>
          <w:sz w:val="22"/>
          <w:szCs w:val="22"/>
          <w:lang w:val="sr-RS"/>
        </w:rPr>
        <w:t xml:space="preserve">односно ________________са ПДВ-ом </w:t>
      </w:r>
      <w:r>
        <w:rPr>
          <w:rFonts w:cs="Arial" w:ascii="Arial" w:hAnsi="Arial"/>
          <w:sz w:val="22"/>
          <w:szCs w:val="22"/>
        </w:rPr>
        <w:t xml:space="preserve">која су обезбеђена </w:t>
      </w:r>
      <w:r>
        <w:rPr>
          <w:rFonts w:ascii="Arial" w:hAnsi="Arial"/>
          <w:sz w:val="22"/>
          <w:szCs w:val="22"/>
        </w:rPr>
        <w:t xml:space="preserve">на апропријацији </w:t>
      </w:r>
      <w:r>
        <w:rPr>
          <w:rFonts w:ascii="Arial" w:hAnsi="Arial"/>
          <w:sz w:val="22"/>
          <w:szCs w:val="22"/>
          <w:lang w:val="sr-Latn-RS"/>
        </w:rPr>
        <w:t>99</w:t>
      </w:r>
      <w:r>
        <w:rPr>
          <w:rFonts w:ascii="Arial" w:hAnsi="Arial"/>
          <w:sz w:val="22"/>
          <w:szCs w:val="22"/>
        </w:rPr>
        <w:t>/</w:t>
      </w:r>
      <w:r>
        <w:rPr>
          <w:rFonts w:ascii="Arial" w:hAnsi="Arial"/>
          <w:sz w:val="22"/>
          <w:szCs w:val="22"/>
          <w:lang w:val="sr-Latn-RS"/>
        </w:rPr>
        <w:t>2</w:t>
      </w:r>
      <w:r>
        <w:rPr>
          <w:rFonts w:ascii="Arial" w:hAnsi="Arial"/>
          <w:sz w:val="22"/>
          <w:szCs w:val="22"/>
        </w:rPr>
        <w:t xml:space="preserve">, економска класификација </w:t>
      </w:r>
      <w:r>
        <w:rPr>
          <w:rFonts w:ascii="Arial" w:hAnsi="Arial"/>
          <w:sz w:val="22"/>
          <w:szCs w:val="22"/>
          <w:lang w:val="sr-Latn-RS"/>
        </w:rPr>
        <w:t>511293</w:t>
      </w:r>
      <w:r>
        <w:rPr>
          <w:rFonts w:ascii="Arial" w:hAnsi="Arial"/>
          <w:sz w:val="22"/>
          <w:szCs w:val="22"/>
          <w:lang w:val="sr-RS"/>
        </w:rPr>
        <w:t xml:space="preserve"> </w:t>
      </w:r>
      <w:r>
        <w:rPr>
          <w:rFonts w:ascii="Arial" w:hAnsi="Arial"/>
          <w:sz w:val="22"/>
          <w:szCs w:val="22"/>
        </w:rPr>
        <w:t xml:space="preserve"> Буџета града Зајечара </w:t>
      </w:r>
      <w:r>
        <w:rPr>
          <w:rFonts w:ascii="Arial" w:hAnsi="Arial"/>
          <w:sz w:val="22"/>
          <w:szCs w:val="22"/>
          <w:lang w:val="sr-RS"/>
        </w:rPr>
        <w:t>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Standard"/>
        <w:numPr>
          <w:ilvl w:val="0"/>
          <w:numId w:val="3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eastAsia="en-US" w:bidi="ar-SA"/>
        </w:rPr>
        <w:t xml:space="preserve">по основу оверених привремених </w:t>
      </w:r>
      <w:bookmarkStart w:id="0" w:name="_GoBack"/>
      <w:bookmarkEnd w:id="0"/>
      <w:r>
        <w:rPr>
          <w:rFonts w:eastAsia="Times New Roman" w:cs="Arial" w:ascii="Arial" w:hAnsi="Arial"/>
          <w:kern w:val="0"/>
          <w:sz w:val="22"/>
          <w:szCs w:val="22"/>
          <w:lang w:eastAsia="en-US" w:bidi="ar-SA"/>
        </w:rPr>
        <w:t>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 xml:space="preserve">највише </w:t>
      </w:r>
      <w:r>
        <w:rPr>
          <w:rFonts w:cs="Arial" w:ascii="Arial" w:hAnsi="Arial"/>
          <w:sz w:val="22"/>
          <w:szCs w:val="22"/>
          <w:lang w:val="sr-RS"/>
        </w:rPr>
        <w:t>6</w:t>
      </w:r>
      <w:r>
        <w:rPr>
          <w:rFonts w:cs="Arial" w:ascii="Arial" w:hAnsi="Arial"/>
          <w:sz w:val="22"/>
          <w:szCs w:val="22"/>
        </w:rPr>
        <w:t>0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приликом примопредаје преда банкарску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____________________2026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__________________.2026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>
          <w:trHeight w:val="317" w:hRule="atLeast"/>
        </w:trPr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Ненад Динуловић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346654392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LibreOffice/7.3.2.2$Windows_X86_64 LibreOffice_project/49f2b1bff42cfccbd8f788c8dc32c1c309559be0</Application>
  <AppVersion>15.0000</AppVersion>
  <Pages>6</Pages>
  <Words>2187</Words>
  <Characters>12557</Characters>
  <CharactersWithSpaces>14631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2026-05-08T19:37:00Z</dcterms:created>
  <dc:creator>Ivan Zivkovic</dc:creator>
  <dc:description/>
  <dc:language>en-US</dc:language>
  <cp:lastModifiedBy/>
  <dcterms:modified xsi:type="dcterms:W3CDTF">2026-08-12T13:25:40Z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